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87D95" w14:textId="77777777" w:rsidR="002D4665" w:rsidRPr="002D4665" w:rsidRDefault="002D4665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D466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39373F" wp14:editId="2E51278C">
            <wp:simplePos x="0" y="0"/>
            <wp:positionH relativeFrom="margin">
              <wp:posOffset>2480310</wp:posOffset>
            </wp:positionH>
            <wp:positionV relativeFrom="paragraph">
              <wp:posOffset>-26035</wp:posOffset>
            </wp:positionV>
            <wp:extent cx="1475105" cy="1476375"/>
            <wp:effectExtent l="0" t="0" r="0" b="0"/>
            <wp:wrapNone/>
            <wp:docPr id="1" name="Picture 1" descr="County_Mora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_Mora_LOGO_HIGH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665">
        <w:rPr>
          <w:rFonts w:ascii="Times New Roman" w:hAnsi="Times New Roman" w:cs="Times New Roman"/>
          <w:b/>
          <w:i/>
          <w:sz w:val="28"/>
          <w:szCs w:val="28"/>
        </w:rPr>
        <w:t>County Commissioners</w:t>
      </w:r>
    </w:p>
    <w:p w14:paraId="0256A55C" w14:textId="77777777" w:rsidR="002D4665" w:rsidRDefault="002D4665" w:rsidP="002D4665">
      <w:pPr>
        <w:pStyle w:val="NoSpacing"/>
        <w:rPr>
          <w:rFonts w:ascii="Times New Roman" w:hAnsi="Times New Roman" w:cs="Times New Roman"/>
          <w:b/>
          <w:i/>
        </w:rPr>
      </w:pPr>
    </w:p>
    <w:p w14:paraId="51126102" w14:textId="30822C99" w:rsidR="002D4665" w:rsidRPr="002D4665" w:rsidRDefault="00673678" w:rsidP="002D466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George Trujillo</w:t>
      </w:r>
      <w:r w:rsidR="002D4665" w:rsidRPr="002D4665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</w:t>
      </w:r>
      <w:r w:rsidR="002D4665">
        <w:rPr>
          <w:rFonts w:ascii="Times New Roman" w:hAnsi="Times New Roman" w:cs="Times New Roman"/>
          <w:b/>
          <w:i/>
        </w:rPr>
        <w:t xml:space="preserve">          </w:t>
      </w:r>
      <w:r w:rsidR="00B02C26">
        <w:rPr>
          <w:rFonts w:ascii="Times New Roman" w:hAnsi="Times New Roman" w:cs="Times New Roman"/>
          <w:b/>
          <w:i/>
        </w:rPr>
        <w:t>Joseph Garcia</w:t>
      </w:r>
    </w:p>
    <w:p w14:paraId="49207879" w14:textId="3D32D32E" w:rsidR="002D4665" w:rsidRPr="002D4665" w:rsidRDefault="002D4665" w:rsidP="002D4665">
      <w:pPr>
        <w:pStyle w:val="NoSpacing"/>
        <w:rPr>
          <w:i/>
        </w:rPr>
      </w:pPr>
      <w:r w:rsidRPr="002D4665">
        <w:rPr>
          <w:i/>
        </w:rPr>
        <w:t xml:space="preserve">Commission Chair                                                                                       </w:t>
      </w:r>
      <w:r w:rsidR="00ED0068">
        <w:rPr>
          <w:i/>
        </w:rPr>
        <w:t xml:space="preserve">                     </w:t>
      </w:r>
      <w:r>
        <w:rPr>
          <w:i/>
        </w:rPr>
        <w:t xml:space="preserve"> </w:t>
      </w:r>
      <w:r w:rsidR="00920076">
        <w:rPr>
          <w:i/>
        </w:rPr>
        <w:t xml:space="preserve">  </w:t>
      </w:r>
      <w:r w:rsidR="00FD0AB4">
        <w:rPr>
          <w:i/>
        </w:rPr>
        <w:t xml:space="preserve"> </w:t>
      </w:r>
      <w:r w:rsidRPr="002D4665">
        <w:rPr>
          <w:i/>
        </w:rPr>
        <w:t>County Manager</w:t>
      </w:r>
    </w:p>
    <w:p w14:paraId="7DBA9644" w14:textId="77777777" w:rsidR="002D4665" w:rsidRPr="002D4665" w:rsidRDefault="002D4665" w:rsidP="002D4665">
      <w:pPr>
        <w:pStyle w:val="NoSpacing"/>
        <w:rPr>
          <w:i/>
        </w:rPr>
      </w:pPr>
    </w:p>
    <w:p w14:paraId="7A23A683" w14:textId="4F9EA34A" w:rsidR="002D4665" w:rsidRPr="002D4665" w:rsidRDefault="00A966E4" w:rsidP="002D466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Johnny Trujillo</w:t>
      </w:r>
    </w:p>
    <w:p w14:paraId="44B7DA83" w14:textId="77777777" w:rsidR="002D4665" w:rsidRPr="002D4665" w:rsidRDefault="002D4665" w:rsidP="002D4665">
      <w:pPr>
        <w:pStyle w:val="NoSpacing"/>
        <w:rPr>
          <w:i/>
        </w:rPr>
      </w:pPr>
      <w:r w:rsidRPr="002D4665">
        <w:rPr>
          <w:i/>
        </w:rPr>
        <w:t>Commission Vice-Chair</w:t>
      </w:r>
      <w:r>
        <w:rPr>
          <w:i/>
        </w:rPr>
        <w:t xml:space="preserve">                                                                                   </w:t>
      </w:r>
    </w:p>
    <w:p w14:paraId="5C46B538" w14:textId="77777777" w:rsidR="002D4665" w:rsidRPr="002D4665" w:rsidRDefault="002D4665" w:rsidP="002D4665">
      <w:pPr>
        <w:pStyle w:val="NoSpacing"/>
        <w:rPr>
          <w:i/>
        </w:rPr>
      </w:pPr>
    </w:p>
    <w:p w14:paraId="1FA3192F" w14:textId="66BA060E" w:rsidR="002D4665" w:rsidRDefault="00673678" w:rsidP="002D466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Veronica Serna</w:t>
      </w:r>
    </w:p>
    <w:p w14:paraId="3F2505E0" w14:textId="3C5700F1" w:rsidR="00A966E4" w:rsidRPr="00A966E4" w:rsidRDefault="00A966E4" w:rsidP="002D4665">
      <w:pPr>
        <w:pStyle w:val="NoSpacing"/>
        <w:rPr>
          <w:rFonts w:ascii="Times New Roman" w:hAnsi="Times New Roman" w:cs="Times New Roman"/>
          <w:bCs/>
          <w:i/>
        </w:rPr>
      </w:pPr>
      <w:r w:rsidRPr="00A966E4">
        <w:rPr>
          <w:rFonts w:cstheme="minorHAnsi"/>
          <w:bCs/>
          <w:i/>
        </w:rPr>
        <w:t>Member</w:t>
      </w:r>
    </w:p>
    <w:p w14:paraId="4BB723D6" w14:textId="22E7CBF8" w:rsidR="007F6C6D" w:rsidRDefault="007F6C6D"/>
    <w:p w14:paraId="77C30BCE" w14:textId="77777777" w:rsidR="006E5791" w:rsidRPr="00277373" w:rsidRDefault="006E5791">
      <w:pPr>
        <w:rPr>
          <w:color w:val="000000"/>
          <w:sz w:val="28"/>
          <w:szCs w:val="28"/>
        </w:rPr>
      </w:pPr>
    </w:p>
    <w:p w14:paraId="1DB61027" w14:textId="77777777" w:rsidR="00524B6B" w:rsidRDefault="00524B6B" w:rsidP="00524B6B">
      <w:pPr>
        <w:rPr>
          <w:rFonts w:ascii="Tahoma" w:hAnsi="Tahoma" w:cs="Tahoma"/>
          <w:sz w:val="20"/>
          <w:szCs w:val="20"/>
        </w:rPr>
      </w:pPr>
    </w:p>
    <w:p w14:paraId="6C967531" w14:textId="77777777" w:rsidR="00524B6B" w:rsidRDefault="00524B6B" w:rsidP="00524B6B"/>
    <w:p w14:paraId="2E335B41" w14:textId="77777777" w:rsidR="00F966BF" w:rsidRDefault="00F966BF" w:rsidP="00F966BF">
      <w:pPr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MORA COUNTY’S RESPONSE TO QUESTIONS FROM PROSPECTIVE OFFERORS REGARDING DISASTER RECOVERY RFP</w:t>
      </w:r>
    </w:p>
    <w:p w14:paraId="03408E8E" w14:textId="77777777" w:rsidR="00F966BF" w:rsidRDefault="00F966BF" w:rsidP="00F966BF">
      <w:pPr>
        <w:jc w:val="both"/>
        <w:rPr>
          <w:b/>
          <w:bCs/>
          <w:color w:val="000000" w:themeColor="text1"/>
          <w:u w:val="single"/>
        </w:rPr>
      </w:pPr>
    </w:p>
    <w:p w14:paraId="5EA98B11" w14:textId="77777777" w:rsidR="00F966BF" w:rsidRPr="004A2A93" w:rsidRDefault="00F966BF" w:rsidP="00F966BF">
      <w:pPr>
        <w:jc w:val="both"/>
        <w:rPr>
          <w:b/>
          <w:bCs/>
          <w:color w:val="000000" w:themeColor="text1"/>
          <w:u w:val="single"/>
        </w:rPr>
      </w:pPr>
      <w:r w:rsidRPr="00A41C52">
        <w:rPr>
          <w:b/>
          <w:bCs/>
          <w:color w:val="000000" w:themeColor="text1"/>
          <w:u w:val="single"/>
        </w:rPr>
        <w:t>Question</w:t>
      </w:r>
      <w:r>
        <w:rPr>
          <w:b/>
          <w:bCs/>
          <w:color w:val="000000" w:themeColor="text1"/>
          <w:u w:val="single"/>
        </w:rPr>
        <w:t xml:space="preserve"> 1</w:t>
      </w:r>
      <w:r w:rsidRPr="00A41C52">
        <w:rPr>
          <w:b/>
          <w:bCs/>
          <w:color w:val="000000" w:themeColor="text1"/>
          <w:u w:val="single"/>
        </w:rPr>
        <w:t>:</w:t>
      </w:r>
    </w:p>
    <w:p w14:paraId="2948EED6" w14:textId="77777777" w:rsidR="00F966BF" w:rsidRPr="00A41C52" w:rsidRDefault="00F966BF" w:rsidP="00F966BF">
      <w:pPr>
        <w:jc w:val="both"/>
        <w:rPr>
          <w:color w:val="000000" w:themeColor="text1"/>
        </w:rPr>
      </w:pPr>
      <w:r w:rsidRPr="00A41C52">
        <w:rPr>
          <w:color w:val="000000" w:themeColor="text1"/>
        </w:rPr>
        <w:t>On page 9 of the RFP is the EVALUATION CRITERIA.  And on pages 13-14 are the B. MANDATORY EVALUATION FACTORS that indicate points are available for responding to items 1.-4.</w:t>
      </w:r>
    </w:p>
    <w:p w14:paraId="6DFF422F" w14:textId="77777777" w:rsidR="00F966BF" w:rsidRPr="00A41C52" w:rsidRDefault="00F966BF" w:rsidP="00F966BF">
      <w:pPr>
        <w:jc w:val="both"/>
        <w:rPr>
          <w:color w:val="000000" w:themeColor="text1"/>
        </w:rPr>
      </w:pPr>
    </w:p>
    <w:p w14:paraId="749AF8FC" w14:textId="77777777" w:rsidR="00F966BF" w:rsidRPr="00A41C52" w:rsidRDefault="00F966BF" w:rsidP="00F966BF">
      <w:pPr>
        <w:jc w:val="both"/>
        <w:rPr>
          <w:color w:val="000000" w:themeColor="text1"/>
        </w:rPr>
      </w:pPr>
      <w:r w:rsidRPr="00A41C52">
        <w:rPr>
          <w:color w:val="000000" w:themeColor="text1"/>
        </w:rPr>
        <w:t>Is the intent to have the offeror include the MANDATORY EVALUATION FACTORS in the items under the EVALUATION CRITERIA or is the intent to have them addressed separately under a different section.</w:t>
      </w:r>
    </w:p>
    <w:p w14:paraId="784EDBBF" w14:textId="77777777" w:rsidR="00F966BF" w:rsidRPr="00A41C52" w:rsidRDefault="00F966BF" w:rsidP="00F966BF">
      <w:pPr>
        <w:jc w:val="both"/>
        <w:rPr>
          <w:color w:val="000000" w:themeColor="text1"/>
        </w:rPr>
      </w:pPr>
    </w:p>
    <w:p w14:paraId="04512680" w14:textId="77777777" w:rsidR="00F966BF" w:rsidRPr="00A41C52" w:rsidRDefault="00F966BF" w:rsidP="00F966BF">
      <w:pPr>
        <w:jc w:val="both"/>
        <w:rPr>
          <w:b/>
          <w:bCs/>
          <w:color w:val="000000" w:themeColor="text1"/>
          <w:u w:val="single"/>
        </w:rPr>
      </w:pPr>
      <w:r w:rsidRPr="00A41C52">
        <w:rPr>
          <w:b/>
          <w:bCs/>
          <w:color w:val="000000" w:themeColor="text1"/>
          <w:u w:val="single"/>
        </w:rPr>
        <w:t>Answer:</w:t>
      </w:r>
    </w:p>
    <w:p w14:paraId="383EB692" w14:textId="77777777" w:rsidR="00F966BF" w:rsidRPr="00A41C52" w:rsidRDefault="00F966BF" w:rsidP="00F966BF">
      <w:pPr>
        <w:jc w:val="both"/>
        <w:rPr>
          <w:color w:val="000000" w:themeColor="text1"/>
        </w:rPr>
      </w:pPr>
      <w:r w:rsidRPr="00A41C52">
        <w:rPr>
          <w:color w:val="000000" w:themeColor="text1"/>
        </w:rPr>
        <w:t>Mora County will defer to each offeror’s decision on how they address each component of the evaluation factors and criteria.  The County does not require a specific format so long as the required information is provided by each offeror.</w:t>
      </w:r>
      <w:r>
        <w:rPr>
          <w:color w:val="000000" w:themeColor="text1"/>
        </w:rPr>
        <w:t xml:space="preserve">  As such, offerors are to exercise their discretion in responding to this RFP.</w:t>
      </w:r>
    </w:p>
    <w:p w14:paraId="58EED01C" w14:textId="77777777" w:rsidR="00F966BF" w:rsidRPr="00A41C52" w:rsidRDefault="00F966BF" w:rsidP="00F966BF">
      <w:pPr>
        <w:jc w:val="both"/>
        <w:rPr>
          <w:b/>
          <w:bCs/>
          <w:color w:val="000000" w:themeColor="text1"/>
          <w:u w:val="single"/>
        </w:rPr>
      </w:pPr>
    </w:p>
    <w:p w14:paraId="5CB2B08A" w14:textId="77777777" w:rsidR="00F966BF" w:rsidRPr="004A2A93" w:rsidRDefault="00F966BF" w:rsidP="00F966BF">
      <w:pPr>
        <w:jc w:val="both"/>
        <w:rPr>
          <w:b/>
          <w:bCs/>
          <w:color w:val="000000" w:themeColor="text1"/>
          <w:u w:val="single"/>
        </w:rPr>
      </w:pPr>
      <w:r w:rsidRPr="00A41C52">
        <w:rPr>
          <w:b/>
          <w:bCs/>
          <w:color w:val="000000" w:themeColor="text1"/>
          <w:u w:val="single"/>
        </w:rPr>
        <w:t>Question</w:t>
      </w:r>
      <w:r>
        <w:rPr>
          <w:b/>
          <w:bCs/>
          <w:color w:val="000000" w:themeColor="text1"/>
          <w:u w:val="single"/>
        </w:rPr>
        <w:t xml:space="preserve"> 2</w:t>
      </w:r>
      <w:r w:rsidRPr="00A41C52">
        <w:rPr>
          <w:b/>
          <w:bCs/>
          <w:color w:val="000000" w:themeColor="text1"/>
          <w:u w:val="single"/>
        </w:rPr>
        <w:t>:</w:t>
      </w:r>
    </w:p>
    <w:p w14:paraId="4E2B8D53" w14:textId="77777777" w:rsidR="00F966BF" w:rsidRPr="00A41C52" w:rsidRDefault="00F966BF" w:rsidP="00F966BF">
      <w:pPr>
        <w:jc w:val="both"/>
        <w:rPr>
          <w:color w:val="000000" w:themeColor="text1"/>
        </w:rPr>
      </w:pPr>
      <w:r w:rsidRPr="000438F6">
        <w:rPr>
          <w:color w:val="000000" w:themeColor="text1"/>
        </w:rPr>
        <w:t>Are respondents required to be architectural/engineering firms or can those services (if needed) be subcontracted to a 3</w:t>
      </w:r>
      <w:r w:rsidRPr="000438F6">
        <w:rPr>
          <w:color w:val="000000" w:themeColor="text1"/>
          <w:vertAlign w:val="superscript"/>
        </w:rPr>
        <w:t>rd</w:t>
      </w:r>
      <w:r w:rsidRPr="000438F6">
        <w:rPr>
          <w:color w:val="000000" w:themeColor="text1"/>
        </w:rPr>
        <w:t> party?</w:t>
      </w:r>
    </w:p>
    <w:p w14:paraId="77D99845" w14:textId="77777777" w:rsidR="00F966BF" w:rsidRPr="00A41C52" w:rsidRDefault="00F966BF" w:rsidP="00F966BF">
      <w:pPr>
        <w:jc w:val="both"/>
        <w:rPr>
          <w:b/>
          <w:bCs/>
          <w:color w:val="000000" w:themeColor="text1"/>
          <w:u w:val="single"/>
        </w:rPr>
      </w:pPr>
    </w:p>
    <w:p w14:paraId="71B37737" w14:textId="77777777" w:rsidR="00F966BF" w:rsidRPr="004A2A93" w:rsidRDefault="00F966BF" w:rsidP="00F966BF">
      <w:pPr>
        <w:jc w:val="both"/>
        <w:rPr>
          <w:b/>
          <w:bCs/>
          <w:color w:val="000000" w:themeColor="text1"/>
          <w:u w:val="single"/>
        </w:rPr>
      </w:pPr>
      <w:r w:rsidRPr="00A41C52">
        <w:rPr>
          <w:b/>
          <w:bCs/>
          <w:color w:val="000000" w:themeColor="text1"/>
          <w:u w:val="single"/>
        </w:rPr>
        <w:t>Answer:</w:t>
      </w:r>
    </w:p>
    <w:p w14:paraId="0CF16568" w14:textId="77777777" w:rsidR="00F966BF" w:rsidRPr="00A41C52" w:rsidRDefault="00F966BF" w:rsidP="00F966BF">
      <w:pPr>
        <w:jc w:val="both"/>
        <w:rPr>
          <w:color w:val="000000" w:themeColor="text1"/>
        </w:rPr>
      </w:pPr>
      <w:r w:rsidRPr="00A41C52">
        <w:rPr>
          <w:color w:val="000000" w:themeColor="text1"/>
        </w:rPr>
        <w:t>The RFP does not specifically provide for such a requirement as identified in this question; however, having such capacity in house would be deemed a favorable factor in the evaluation process.</w:t>
      </w:r>
      <w:r>
        <w:rPr>
          <w:color w:val="000000" w:themeColor="text1"/>
        </w:rPr>
        <w:t xml:space="preserve">  In the event such capacity does not exist in house with the offeror, the RFP Response must provide detailed information regarding proposed subcontractors as outlined in the RFP.</w:t>
      </w:r>
    </w:p>
    <w:p w14:paraId="23CBF3F7" w14:textId="77777777" w:rsidR="00F966BF" w:rsidRPr="00A41C52" w:rsidRDefault="00F966BF" w:rsidP="00F966BF">
      <w:pPr>
        <w:jc w:val="both"/>
        <w:rPr>
          <w:color w:val="000000" w:themeColor="text1"/>
        </w:rPr>
      </w:pPr>
    </w:p>
    <w:p w14:paraId="625B1283" w14:textId="77777777" w:rsidR="00F966BF" w:rsidRPr="004A2A93" w:rsidRDefault="00F966BF" w:rsidP="00F966BF">
      <w:pPr>
        <w:jc w:val="both"/>
        <w:rPr>
          <w:b/>
          <w:bCs/>
          <w:color w:val="000000" w:themeColor="text1"/>
          <w:u w:val="single"/>
        </w:rPr>
      </w:pPr>
      <w:r w:rsidRPr="00A41C52">
        <w:rPr>
          <w:b/>
          <w:bCs/>
          <w:color w:val="000000" w:themeColor="text1"/>
          <w:u w:val="single"/>
        </w:rPr>
        <w:t>Question</w:t>
      </w:r>
      <w:r>
        <w:rPr>
          <w:b/>
          <w:bCs/>
          <w:color w:val="000000" w:themeColor="text1"/>
          <w:u w:val="single"/>
        </w:rPr>
        <w:t xml:space="preserve"> 3</w:t>
      </w:r>
      <w:r w:rsidRPr="00A41C52">
        <w:rPr>
          <w:b/>
          <w:bCs/>
          <w:color w:val="000000" w:themeColor="text1"/>
          <w:u w:val="single"/>
        </w:rPr>
        <w:t>:</w:t>
      </w:r>
    </w:p>
    <w:p w14:paraId="5AE205E1" w14:textId="77777777" w:rsidR="00F966BF" w:rsidRPr="00A41C52" w:rsidRDefault="00F966BF" w:rsidP="00F966BF">
      <w:pPr>
        <w:jc w:val="both"/>
        <w:rPr>
          <w:color w:val="000000" w:themeColor="text1"/>
        </w:rPr>
      </w:pPr>
      <w:r w:rsidRPr="000438F6">
        <w:rPr>
          <w:color w:val="000000" w:themeColor="text1"/>
        </w:rPr>
        <w:t>Does the County of Mora have a process they are required to follow by state regulations for procurement?</w:t>
      </w:r>
    </w:p>
    <w:p w14:paraId="2C085DDC" w14:textId="77777777" w:rsidR="00F966BF" w:rsidRPr="000438F6" w:rsidRDefault="00F966BF" w:rsidP="00F966BF">
      <w:pPr>
        <w:jc w:val="both"/>
        <w:rPr>
          <w:color w:val="000000" w:themeColor="text1"/>
        </w:rPr>
      </w:pPr>
    </w:p>
    <w:p w14:paraId="58058195" w14:textId="77777777" w:rsidR="00F966BF" w:rsidRPr="004A2A93" w:rsidRDefault="00F966BF" w:rsidP="00F966BF">
      <w:pPr>
        <w:jc w:val="both"/>
        <w:rPr>
          <w:b/>
          <w:bCs/>
          <w:color w:val="000000" w:themeColor="text1"/>
          <w:u w:val="single"/>
        </w:rPr>
      </w:pPr>
      <w:r w:rsidRPr="00A41C52">
        <w:rPr>
          <w:b/>
          <w:bCs/>
          <w:color w:val="000000" w:themeColor="text1"/>
          <w:u w:val="single"/>
        </w:rPr>
        <w:lastRenderedPageBreak/>
        <w:t>Answer:</w:t>
      </w:r>
    </w:p>
    <w:p w14:paraId="664927F7" w14:textId="77777777" w:rsidR="00F966BF" w:rsidRPr="004A2A93" w:rsidRDefault="00F966BF" w:rsidP="00F966BF">
      <w:pPr>
        <w:jc w:val="both"/>
        <w:rPr>
          <w:color w:val="000000" w:themeColor="text1"/>
        </w:rPr>
      </w:pPr>
      <w:r w:rsidRPr="00A41C52">
        <w:rPr>
          <w:color w:val="000000" w:themeColor="text1"/>
        </w:rPr>
        <w:t xml:space="preserve">Mora County follows the </w:t>
      </w:r>
      <w:r>
        <w:rPr>
          <w:color w:val="000000" w:themeColor="text1"/>
        </w:rPr>
        <w:t>New Mexico</w:t>
      </w:r>
      <w:r w:rsidRPr="00A41C52">
        <w:rPr>
          <w:color w:val="000000" w:themeColor="text1"/>
        </w:rPr>
        <w:t xml:space="preserve"> Procurement Code.</w:t>
      </w:r>
    </w:p>
    <w:p w14:paraId="1F8F0BB8" w14:textId="77777777" w:rsidR="00F966BF" w:rsidRPr="004A2A93" w:rsidRDefault="00F966BF" w:rsidP="00F966BF">
      <w:pPr>
        <w:jc w:val="both"/>
        <w:rPr>
          <w:b/>
          <w:bCs/>
          <w:color w:val="000000" w:themeColor="text1"/>
          <w:sz w:val="20"/>
          <w:szCs w:val="20"/>
          <w:u w:val="single"/>
        </w:rPr>
      </w:pPr>
    </w:p>
    <w:p w14:paraId="4DC15547" w14:textId="77777777" w:rsidR="00F966BF" w:rsidRPr="004A2A93" w:rsidRDefault="00F966BF" w:rsidP="00F966BF">
      <w:pPr>
        <w:jc w:val="both"/>
        <w:rPr>
          <w:b/>
          <w:bCs/>
          <w:color w:val="000000" w:themeColor="text1"/>
          <w:u w:val="single"/>
        </w:rPr>
      </w:pPr>
      <w:r w:rsidRPr="00A41C52">
        <w:rPr>
          <w:b/>
          <w:bCs/>
          <w:color w:val="000000" w:themeColor="text1"/>
          <w:u w:val="single"/>
        </w:rPr>
        <w:t>Question</w:t>
      </w:r>
      <w:r>
        <w:rPr>
          <w:b/>
          <w:bCs/>
          <w:color w:val="000000" w:themeColor="text1"/>
          <w:u w:val="single"/>
        </w:rPr>
        <w:t xml:space="preserve"> 4</w:t>
      </w:r>
      <w:r w:rsidRPr="00A41C52">
        <w:rPr>
          <w:b/>
          <w:bCs/>
          <w:color w:val="000000" w:themeColor="text1"/>
          <w:u w:val="single"/>
        </w:rPr>
        <w:t>:</w:t>
      </w:r>
    </w:p>
    <w:p w14:paraId="0CF170EB" w14:textId="77777777" w:rsidR="00F966BF" w:rsidRPr="00A41C52" w:rsidRDefault="00F966BF" w:rsidP="00F966BF">
      <w:pPr>
        <w:jc w:val="both"/>
        <w:rPr>
          <w:color w:val="000000" w:themeColor="text1"/>
        </w:rPr>
      </w:pPr>
      <w:r w:rsidRPr="00A41C52">
        <w:rPr>
          <w:color w:val="000000" w:themeColor="text1"/>
        </w:rPr>
        <w:t>Do the required attachments (letter of transmittal, COI, collusion, debarment, W9, etc.) count against the 30-page limit?</w:t>
      </w:r>
    </w:p>
    <w:p w14:paraId="25859EF8" w14:textId="77777777" w:rsidR="00F966BF" w:rsidRPr="00A41C52" w:rsidRDefault="00F966BF" w:rsidP="00F966BF">
      <w:pPr>
        <w:jc w:val="both"/>
        <w:rPr>
          <w:b/>
          <w:bCs/>
          <w:color w:val="000000" w:themeColor="text1"/>
          <w:u w:val="single"/>
        </w:rPr>
      </w:pPr>
    </w:p>
    <w:p w14:paraId="12306165" w14:textId="77777777" w:rsidR="00F966BF" w:rsidRPr="004A2A93" w:rsidRDefault="00F966BF" w:rsidP="00F966BF">
      <w:pPr>
        <w:jc w:val="both"/>
        <w:rPr>
          <w:b/>
          <w:bCs/>
          <w:color w:val="000000" w:themeColor="text1"/>
          <w:u w:val="single"/>
        </w:rPr>
      </w:pPr>
      <w:r w:rsidRPr="00A41C52">
        <w:rPr>
          <w:b/>
          <w:bCs/>
          <w:color w:val="000000" w:themeColor="text1"/>
          <w:u w:val="single"/>
        </w:rPr>
        <w:t>Answer:</w:t>
      </w:r>
    </w:p>
    <w:p w14:paraId="6515163D" w14:textId="77777777" w:rsidR="00F966BF" w:rsidRDefault="00F966BF" w:rsidP="00F966BF">
      <w:pPr>
        <w:jc w:val="both"/>
        <w:rPr>
          <w:color w:val="000000" w:themeColor="text1"/>
        </w:rPr>
      </w:pPr>
      <w:r w:rsidRPr="00A41C52">
        <w:rPr>
          <w:color w:val="000000" w:themeColor="text1"/>
        </w:rPr>
        <w:t>The required attachment</w:t>
      </w:r>
      <w:r>
        <w:rPr>
          <w:color w:val="000000" w:themeColor="text1"/>
        </w:rPr>
        <w:t xml:space="preserve">s (e.g., letter of transmittal, COI, collusion, debarment, W-9, etc.) will </w:t>
      </w:r>
      <w:r w:rsidRPr="00A41C52">
        <w:rPr>
          <w:color w:val="000000" w:themeColor="text1"/>
        </w:rPr>
        <w:t>not count against the thirty-page limit.</w:t>
      </w:r>
    </w:p>
    <w:p w14:paraId="750304FD" w14:textId="77777777" w:rsidR="00F966BF" w:rsidRDefault="00F966BF" w:rsidP="00F966BF">
      <w:pPr>
        <w:jc w:val="both"/>
        <w:rPr>
          <w:color w:val="000000" w:themeColor="text1"/>
        </w:rPr>
      </w:pPr>
    </w:p>
    <w:p w14:paraId="3861707F" w14:textId="77777777" w:rsidR="00F966BF" w:rsidRPr="004A2A93" w:rsidRDefault="00F966BF" w:rsidP="00F966BF">
      <w:pPr>
        <w:jc w:val="both"/>
        <w:rPr>
          <w:b/>
          <w:bCs/>
          <w:color w:val="000000" w:themeColor="text1"/>
          <w:u w:val="single"/>
        </w:rPr>
      </w:pPr>
      <w:r w:rsidRPr="00A41C52">
        <w:rPr>
          <w:b/>
          <w:bCs/>
          <w:color w:val="000000" w:themeColor="text1"/>
          <w:u w:val="single"/>
        </w:rPr>
        <w:t>Question</w:t>
      </w:r>
      <w:r>
        <w:rPr>
          <w:b/>
          <w:bCs/>
          <w:color w:val="000000" w:themeColor="text1"/>
          <w:u w:val="single"/>
        </w:rPr>
        <w:t xml:space="preserve"> 5</w:t>
      </w:r>
      <w:r w:rsidRPr="00A41C52">
        <w:rPr>
          <w:b/>
          <w:bCs/>
          <w:color w:val="000000" w:themeColor="text1"/>
          <w:u w:val="single"/>
        </w:rPr>
        <w:t>:</w:t>
      </w:r>
    </w:p>
    <w:p w14:paraId="0D259C8B" w14:textId="77777777" w:rsidR="00F966BF" w:rsidRPr="00A41C52" w:rsidRDefault="00F966BF" w:rsidP="00F966BF">
      <w:pPr>
        <w:jc w:val="both"/>
        <w:rPr>
          <w:color w:val="000000" w:themeColor="text1"/>
        </w:rPr>
      </w:pPr>
      <w:r w:rsidRPr="00A41C52">
        <w:rPr>
          <w:color w:val="000000" w:themeColor="text1"/>
        </w:rPr>
        <w:t>Do resumes count against the 30-page limit?</w:t>
      </w:r>
    </w:p>
    <w:p w14:paraId="76F34341" w14:textId="77777777" w:rsidR="00F966BF" w:rsidRPr="00A41C52" w:rsidRDefault="00F966BF" w:rsidP="00F966BF">
      <w:pPr>
        <w:jc w:val="both"/>
        <w:rPr>
          <w:color w:val="000000" w:themeColor="text1"/>
        </w:rPr>
      </w:pPr>
    </w:p>
    <w:p w14:paraId="6D680EBE" w14:textId="77777777" w:rsidR="00F966BF" w:rsidRPr="004A2A93" w:rsidRDefault="00F966BF" w:rsidP="00F966BF">
      <w:pPr>
        <w:jc w:val="both"/>
        <w:rPr>
          <w:b/>
          <w:bCs/>
          <w:color w:val="000000" w:themeColor="text1"/>
          <w:u w:val="single"/>
        </w:rPr>
      </w:pPr>
      <w:r w:rsidRPr="00A41C52">
        <w:rPr>
          <w:b/>
          <w:bCs/>
          <w:color w:val="000000" w:themeColor="text1"/>
          <w:u w:val="single"/>
        </w:rPr>
        <w:t>Answer:</w:t>
      </w:r>
    </w:p>
    <w:p w14:paraId="4C0A9239" w14:textId="77777777" w:rsidR="00F966BF" w:rsidRPr="00A41C52" w:rsidRDefault="00F966BF" w:rsidP="00F966BF">
      <w:pPr>
        <w:jc w:val="both"/>
        <w:rPr>
          <w:color w:val="000000" w:themeColor="text1"/>
        </w:rPr>
      </w:pPr>
      <w:r w:rsidRPr="00A41C52">
        <w:rPr>
          <w:color w:val="000000" w:themeColor="text1"/>
        </w:rPr>
        <w:t>Resumes will not count against the thirty-page limit.</w:t>
      </w:r>
    </w:p>
    <w:p w14:paraId="4C9870A5" w14:textId="77777777" w:rsidR="00F966BF" w:rsidRPr="00A41C52" w:rsidRDefault="00F966BF" w:rsidP="00F966BF">
      <w:pPr>
        <w:jc w:val="both"/>
        <w:rPr>
          <w:color w:val="000000" w:themeColor="text1"/>
        </w:rPr>
      </w:pPr>
    </w:p>
    <w:p w14:paraId="0F263EEA" w14:textId="77777777" w:rsidR="00F966BF" w:rsidRPr="004A2A93" w:rsidRDefault="00F966BF" w:rsidP="00F966BF">
      <w:pPr>
        <w:jc w:val="both"/>
        <w:rPr>
          <w:b/>
          <w:bCs/>
          <w:color w:val="000000" w:themeColor="text1"/>
          <w:u w:val="single"/>
        </w:rPr>
      </w:pPr>
      <w:r w:rsidRPr="00A41C52">
        <w:rPr>
          <w:b/>
          <w:bCs/>
          <w:color w:val="000000" w:themeColor="text1"/>
          <w:u w:val="single"/>
        </w:rPr>
        <w:t>Question</w:t>
      </w:r>
      <w:r>
        <w:rPr>
          <w:b/>
          <w:bCs/>
          <w:color w:val="000000" w:themeColor="text1"/>
          <w:u w:val="single"/>
        </w:rPr>
        <w:t xml:space="preserve"> 6</w:t>
      </w:r>
      <w:r w:rsidRPr="00A41C52">
        <w:rPr>
          <w:b/>
          <w:bCs/>
          <w:color w:val="000000" w:themeColor="text1"/>
          <w:u w:val="single"/>
        </w:rPr>
        <w:t>:</w:t>
      </w:r>
    </w:p>
    <w:p w14:paraId="494849BC" w14:textId="77777777" w:rsidR="00F966BF" w:rsidRPr="00A41C52" w:rsidRDefault="00F966BF" w:rsidP="00F966BF">
      <w:pPr>
        <w:jc w:val="both"/>
        <w:rPr>
          <w:color w:val="000000" w:themeColor="text1"/>
        </w:rPr>
      </w:pPr>
      <w:r w:rsidRPr="00A41C52">
        <w:rPr>
          <w:color w:val="000000" w:themeColor="text1"/>
        </w:rPr>
        <w:t>There does not appear to have any criteria or incentive to attract small, disadvantaged, minority, woman-owned or other types of firms. Will the County of Mora consider adding this to the criteria? Or will such a proposer receive consideration for being one of these business types if they meet the criteria?</w:t>
      </w:r>
    </w:p>
    <w:p w14:paraId="75418A02" w14:textId="77777777" w:rsidR="00F966BF" w:rsidRPr="00A41C52" w:rsidRDefault="00F966BF" w:rsidP="00F966BF">
      <w:pPr>
        <w:jc w:val="both"/>
        <w:rPr>
          <w:color w:val="000000" w:themeColor="text1"/>
        </w:rPr>
      </w:pPr>
    </w:p>
    <w:p w14:paraId="6E587153" w14:textId="77777777" w:rsidR="00F966BF" w:rsidRPr="004A2A93" w:rsidRDefault="00F966BF" w:rsidP="00F966BF">
      <w:pPr>
        <w:jc w:val="both"/>
        <w:rPr>
          <w:b/>
          <w:bCs/>
          <w:color w:val="000000" w:themeColor="text1"/>
          <w:u w:val="single"/>
        </w:rPr>
      </w:pPr>
      <w:r w:rsidRPr="00A41C52">
        <w:rPr>
          <w:b/>
          <w:bCs/>
          <w:color w:val="000000" w:themeColor="text1"/>
          <w:u w:val="single"/>
        </w:rPr>
        <w:t>Answer:</w:t>
      </w:r>
    </w:p>
    <w:p w14:paraId="52006E12" w14:textId="77777777" w:rsidR="00F966BF" w:rsidRPr="00A41C52" w:rsidRDefault="00F966BF" w:rsidP="00F966BF">
      <w:pPr>
        <w:jc w:val="both"/>
        <w:rPr>
          <w:color w:val="000000" w:themeColor="text1"/>
        </w:rPr>
      </w:pPr>
      <w:r w:rsidRPr="00A41C52">
        <w:rPr>
          <w:color w:val="000000" w:themeColor="text1"/>
        </w:rPr>
        <w:t>Mora County will adhere to the criteria listed in the RFP and New Mexico’s State Procurement Code</w:t>
      </w:r>
      <w:r>
        <w:rPr>
          <w:color w:val="000000" w:themeColor="text1"/>
        </w:rPr>
        <w:t>, if applicable</w:t>
      </w:r>
      <w:r w:rsidRPr="00A41C52">
        <w:rPr>
          <w:color w:val="000000" w:themeColor="text1"/>
        </w:rPr>
        <w:t xml:space="preserve">. </w:t>
      </w:r>
    </w:p>
    <w:p w14:paraId="758B782F" w14:textId="77777777" w:rsidR="00F966BF" w:rsidRPr="00A41C52" w:rsidRDefault="00F966BF" w:rsidP="00F966BF">
      <w:pPr>
        <w:jc w:val="both"/>
        <w:rPr>
          <w:color w:val="000000" w:themeColor="text1"/>
        </w:rPr>
      </w:pPr>
    </w:p>
    <w:p w14:paraId="028EA681" w14:textId="77777777" w:rsidR="00F966BF" w:rsidRPr="00A41C52" w:rsidRDefault="00F966BF" w:rsidP="00F966BF">
      <w:pPr>
        <w:jc w:val="both"/>
        <w:rPr>
          <w:color w:val="000000" w:themeColor="text1"/>
        </w:rPr>
      </w:pPr>
      <w:r w:rsidRPr="00A41C52">
        <w:rPr>
          <w:color w:val="000000" w:themeColor="text1"/>
        </w:rPr>
        <w:t>Please note that offerors are welcome to identify such factors, including but not limited to those identified in this question</w:t>
      </w:r>
      <w:r>
        <w:rPr>
          <w:color w:val="000000" w:themeColor="text1"/>
        </w:rPr>
        <w:t>,</w:t>
      </w:r>
      <w:r w:rsidRPr="00A41C52">
        <w:rPr>
          <w:color w:val="000000" w:themeColor="text1"/>
        </w:rPr>
        <w:t xml:space="preserve"> which offerors believe to be relevant.</w:t>
      </w:r>
    </w:p>
    <w:p w14:paraId="3596470E" w14:textId="77777777" w:rsidR="00F966BF" w:rsidRPr="00A41C52" w:rsidRDefault="00F966BF" w:rsidP="00F966BF">
      <w:pPr>
        <w:jc w:val="both"/>
        <w:rPr>
          <w:color w:val="000000" w:themeColor="text1"/>
        </w:rPr>
      </w:pPr>
    </w:p>
    <w:p w14:paraId="6130B3A9" w14:textId="77777777" w:rsidR="00F966BF" w:rsidRPr="004A2A93" w:rsidRDefault="00F966BF" w:rsidP="00F966BF">
      <w:pPr>
        <w:jc w:val="both"/>
        <w:rPr>
          <w:b/>
          <w:bCs/>
          <w:color w:val="000000" w:themeColor="text1"/>
          <w:u w:val="single"/>
        </w:rPr>
      </w:pPr>
      <w:r w:rsidRPr="00A41C52">
        <w:rPr>
          <w:b/>
          <w:bCs/>
          <w:color w:val="000000" w:themeColor="text1"/>
          <w:u w:val="single"/>
        </w:rPr>
        <w:t>Question</w:t>
      </w:r>
      <w:r>
        <w:rPr>
          <w:b/>
          <w:bCs/>
          <w:color w:val="000000" w:themeColor="text1"/>
          <w:u w:val="single"/>
        </w:rPr>
        <w:t xml:space="preserve"> 7</w:t>
      </w:r>
      <w:r w:rsidRPr="00A41C52">
        <w:rPr>
          <w:b/>
          <w:bCs/>
          <w:color w:val="000000" w:themeColor="text1"/>
          <w:u w:val="single"/>
        </w:rPr>
        <w:t>:</w:t>
      </w:r>
    </w:p>
    <w:p w14:paraId="2469477E" w14:textId="77777777" w:rsidR="00F966BF" w:rsidRPr="00A41C52" w:rsidRDefault="00F966BF" w:rsidP="00F966BF">
      <w:pPr>
        <w:jc w:val="both"/>
        <w:rPr>
          <w:color w:val="000000" w:themeColor="text1"/>
        </w:rPr>
      </w:pPr>
      <w:r w:rsidRPr="00A41C52">
        <w:rPr>
          <w:color w:val="000000" w:themeColor="text1"/>
        </w:rPr>
        <w:t>What qualifies a person or firm as a "major" subcontractor?</w:t>
      </w:r>
    </w:p>
    <w:p w14:paraId="75E8723B" w14:textId="77777777" w:rsidR="00F966BF" w:rsidRPr="00A41C52" w:rsidRDefault="00F966BF" w:rsidP="00F966BF">
      <w:pPr>
        <w:jc w:val="both"/>
        <w:rPr>
          <w:color w:val="000000" w:themeColor="text1"/>
        </w:rPr>
      </w:pPr>
    </w:p>
    <w:p w14:paraId="717329E2" w14:textId="77777777" w:rsidR="00F966BF" w:rsidRPr="004A2A93" w:rsidRDefault="00F966BF" w:rsidP="00F966BF">
      <w:pPr>
        <w:jc w:val="both"/>
        <w:rPr>
          <w:b/>
          <w:bCs/>
          <w:color w:val="000000" w:themeColor="text1"/>
          <w:u w:val="single"/>
        </w:rPr>
      </w:pPr>
      <w:r w:rsidRPr="00A41C52">
        <w:rPr>
          <w:b/>
          <w:bCs/>
          <w:color w:val="000000" w:themeColor="text1"/>
          <w:u w:val="single"/>
        </w:rPr>
        <w:t>Answer:</w:t>
      </w:r>
    </w:p>
    <w:p w14:paraId="6A1AA508" w14:textId="77777777" w:rsidR="00F966BF" w:rsidRPr="00A41C52" w:rsidRDefault="00F966BF" w:rsidP="00F966BF">
      <w:pPr>
        <w:jc w:val="both"/>
        <w:rPr>
          <w:color w:val="000000" w:themeColor="text1"/>
        </w:rPr>
      </w:pPr>
      <w:r w:rsidRPr="00A41C52">
        <w:rPr>
          <w:color w:val="000000" w:themeColor="text1"/>
        </w:rPr>
        <w:t xml:space="preserve">“Major” subcontractor </w:t>
      </w:r>
      <w:r>
        <w:rPr>
          <w:color w:val="000000" w:themeColor="text1"/>
        </w:rPr>
        <w:t>is not defined in the RFP and is left to the</w:t>
      </w:r>
      <w:r w:rsidRPr="00A41C52">
        <w:rPr>
          <w:color w:val="000000" w:themeColor="text1"/>
        </w:rPr>
        <w:t xml:space="preserve"> discretion of the</w:t>
      </w:r>
      <w:r>
        <w:rPr>
          <w:color w:val="000000" w:themeColor="text1"/>
        </w:rPr>
        <w:t xml:space="preserve"> offeror for purposes of responding to the RFP.  Upon contract execution, the</w:t>
      </w:r>
      <w:r w:rsidRPr="00A41C52">
        <w:rPr>
          <w:color w:val="000000" w:themeColor="text1"/>
        </w:rPr>
        <w:t xml:space="preserve"> County’s Finance Department </w:t>
      </w:r>
      <w:r>
        <w:rPr>
          <w:color w:val="000000" w:themeColor="text1"/>
        </w:rPr>
        <w:t xml:space="preserve">will work with the contractor to ensure all subcontractors (major or otherwise) are properly identified </w:t>
      </w:r>
      <w:r w:rsidRPr="00A41C52">
        <w:rPr>
          <w:color w:val="000000" w:themeColor="text1"/>
        </w:rPr>
        <w:t>based upon the nature of work to be performed.</w:t>
      </w:r>
    </w:p>
    <w:p w14:paraId="37894C55" w14:textId="5D6CBEF3" w:rsidR="006E5791" w:rsidRDefault="006E5791">
      <w:pPr>
        <w:rPr>
          <w:color w:val="000000"/>
        </w:rPr>
      </w:pPr>
    </w:p>
    <w:sectPr w:rsidR="006E5791" w:rsidSect="00E37AC8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B6F55" w14:textId="77777777" w:rsidR="00E37AC8" w:rsidRDefault="00E37AC8" w:rsidP="002D4665">
      <w:r>
        <w:separator/>
      </w:r>
    </w:p>
  </w:endnote>
  <w:endnote w:type="continuationSeparator" w:id="0">
    <w:p w14:paraId="28AF4586" w14:textId="77777777" w:rsidR="00E37AC8" w:rsidRDefault="00E37AC8" w:rsidP="002D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ABE18" w14:textId="77777777" w:rsidR="001D5C7F" w:rsidRDefault="001D5C7F" w:rsidP="001D5C7F">
    <w:pPr>
      <w:pStyle w:val="Footer"/>
      <w:jc w:val="center"/>
    </w:pPr>
    <w:r>
      <w:t>P.O. Box 580</w:t>
    </w:r>
  </w:p>
  <w:p w14:paraId="090B7231" w14:textId="77777777" w:rsidR="001D5C7F" w:rsidRDefault="001D5C7F" w:rsidP="001D5C7F">
    <w:pPr>
      <w:pStyle w:val="Footer"/>
      <w:jc w:val="center"/>
    </w:pPr>
    <w:r>
      <w:t>Mora, N.M. 87732</w:t>
    </w:r>
  </w:p>
  <w:p w14:paraId="1728829E" w14:textId="77777777" w:rsidR="001D5C7F" w:rsidRDefault="001D5C7F" w:rsidP="001D5C7F">
    <w:pPr>
      <w:pStyle w:val="Footer"/>
      <w:jc w:val="center"/>
    </w:pPr>
    <w:r>
      <w:t>Phone (575)387-5279</w:t>
    </w:r>
  </w:p>
  <w:p w14:paraId="08279F73" w14:textId="77777777" w:rsidR="001D5C7F" w:rsidRDefault="001D5C7F" w:rsidP="001D5C7F">
    <w:pPr>
      <w:pStyle w:val="Footer"/>
      <w:jc w:val="center"/>
    </w:pPr>
    <w:r>
      <w:t>Fax (575</w:t>
    </w:r>
    <w:r w:rsidR="00591A02">
      <w:t>)</w:t>
    </w:r>
    <w:r>
      <w:t xml:space="preserve"> 387-9022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93244" w14:textId="77777777" w:rsidR="00E37AC8" w:rsidRDefault="00E37AC8" w:rsidP="002D4665">
      <w:r>
        <w:separator/>
      </w:r>
    </w:p>
  </w:footnote>
  <w:footnote w:type="continuationSeparator" w:id="0">
    <w:p w14:paraId="0EAD2597" w14:textId="77777777" w:rsidR="00E37AC8" w:rsidRDefault="00E37AC8" w:rsidP="002D4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6D"/>
    <w:rsid w:val="00033784"/>
    <w:rsid w:val="000B3BBD"/>
    <w:rsid w:val="000C129E"/>
    <w:rsid w:val="000F6618"/>
    <w:rsid w:val="00120E9E"/>
    <w:rsid w:val="0013068B"/>
    <w:rsid w:val="00173EFE"/>
    <w:rsid w:val="001C144E"/>
    <w:rsid w:val="001C3A66"/>
    <w:rsid w:val="001D5C7F"/>
    <w:rsid w:val="001D76EB"/>
    <w:rsid w:val="001E18A0"/>
    <w:rsid w:val="00230908"/>
    <w:rsid w:val="002432B2"/>
    <w:rsid w:val="00277373"/>
    <w:rsid w:val="002A3C22"/>
    <w:rsid w:val="002D4665"/>
    <w:rsid w:val="0031494B"/>
    <w:rsid w:val="003760E5"/>
    <w:rsid w:val="003B4F64"/>
    <w:rsid w:val="003E329E"/>
    <w:rsid w:val="003E3B5F"/>
    <w:rsid w:val="004112BD"/>
    <w:rsid w:val="00430DDC"/>
    <w:rsid w:val="004A410F"/>
    <w:rsid w:val="004E7E53"/>
    <w:rsid w:val="0051739A"/>
    <w:rsid w:val="00524B6B"/>
    <w:rsid w:val="00591A02"/>
    <w:rsid w:val="005E06FE"/>
    <w:rsid w:val="00600B83"/>
    <w:rsid w:val="00614F78"/>
    <w:rsid w:val="00647C2E"/>
    <w:rsid w:val="00673678"/>
    <w:rsid w:val="006E5791"/>
    <w:rsid w:val="007D1EC8"/>
    <w:rsid w:val="007E2269"/>
    <w:rsid w:val="007F6C6D"/>
    <w:rsid w:val="00806402"/>
    <w:rsid w:val="0084050E"/>
    <w:rsid w:val="00844DB2"/>
    <w:rsid w:val="00893161"/>
    <w:rsid w:val="008E3950"/>
    <w:rsid w:val="008F0630"/>
    <w:rsid w:val="0091642C"/>
    <w:rsid w:val="00920076"/>
    <w:rsid w:val="00977182"/>
    <w:rsid w:val="009C5BC0"/>
    <w:rsid w:val="009C5E7B"/>
    <w:rsid w:val="009D68A4"/>
    <w:rsid w:val="00A01366"/>
    <w:rsid w:val="00A7675C"/>
    <w:rsid w:val="00A966E4"/>
    <w:rsid w:val="00B02C26"/>
    <w:rsid w:val="00B067FB"/>
    <w:rsid w:val="00B7582B"/>
    <w:rsid w:val="00B81A77"/>
    <w:rsid w:val="00B868A3"/>
    <w:rsid w:val="00BF4129"/>
    <w:rsid w:val="00C667E5"/>
    <w:rsid w:val="00C93D5B"/>
    <w:rsid w:val="00CE3770"/>
    <w:rsid w:val="00D02B53"/>
    <w:rsid w:val="00D23089"/>
    <w:rsid w:val="00DB7970"/>
    <w:rsid w:val="00DB7A63"/>
    <w:rsid w:val="00E37779"/>
    <w:rsid w:val="00E37AC8"/>
    <w:rsid w:val="00E579D4"/>
    <w:rsid w:val="00ED0068"/>
    <w:rsid w:val="00ED0CA4"/>
    <w:rsid w:val="00F30BE2"/>
    <w:rsid w:val="00F36FA0"/>
    <w:rsid w:val="00F6259F"/>
    <w:rsid w:val="00F966BF"/>
    <w:rsid w:val="00FA6E3C"/>
    <w:rsid w:val="00FD0AB4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F0D3"/>
  <w15:chartTrackingRefBased/>
  <w15:docId w15:val="{2B43241F-95BE-4269-A59B-51D9B44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4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4665"/>
  </w:style>
  <w:style w:type="paragraph" w:styleId="Footer">
    <w:name w:val="footer"/>
    <w:basedOn w:val="Normal"/>
    <w:link w:val="Foot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4665"/>
  </w:style>
  <w:style w:type="paragraph" w:styleId="BalloonText">
    <w:name w:val="Balloon Text"/>
    <w:basedOn w:val="Normal"/>
    <w:link w:val="BalloonTextChar"/>
    <w:uiPriority w:val="99"/>
    <w:semiHidden/>
    <w:unhideWhenUsed/>
    <w:rsid w:val="002D4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73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9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Rumaldo Pino III</dc:creator>
  <cp:keywords/>
  <dc:description/>
  <cp:lastModifiedBy>Stephanie S. Casados</cp:lastModifiedBy>
  <cp:revision>2</cp:revision>
  <cp:lastPrinted>2024-03-28T17:34:00Z</cp:lastPrinted>
  <dcterms:created xsi:type="dcterms:W3CDTF">2024-03-28T18:12:00Z</dcterms:created>
  <dcterms:modified xsi:type="dcterms:W3CDTF">2024-03-28T18:12:00Z</dcterms:modified>
</cp:coreProperties>
</file>